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Alessio Ghiggeri</w:t>
      </w:r>
    </w:p>
    <w:p>
      <w:pPr>
        <w:pStyle w:val="Subtitle"/>
      </w:pPr>
      <w:r>
        <w:t xml:space="preserve">24 anni di specializzazione HSE nella cantieristica navale · HSE Data Analytics · AI Agents &amp; Automation</w:t>
      </w:r>
    </w:p>
    <w:p>
      <w:pPr>
        <w:pStyle w:val="Contatti"/>
      </w:pPr>
      <w:r>
        <w:t xml:space="preserve">Genova, Italia</w:t>
      </w:r>
      <w:r>
        <w:t xml:space="preserve"> · </w:t>
      </w:r>
      <w:hyperlink r:id="rId10" w:history="1">
        <w:r>
          <w:rPr>
            <w:rStyle w:val="Hyperlink"/>
          </w:rPr>
          <w:t xml:space="preserve">alessio@deepanalyze.it</w:t>
        </w:r>
      </w:hyperlink>
      <w:r>
        <w:t xml:space="preserve"> · </w:t>
      </w:r>
      <w:hyperlink r:id="rId11" w:history="1">
        <w:r>
          <w:rPr>
            <w:rStyle w:val="Hyperlink"/>
          </w:rPr>
          <w:t xml:space="preserve">linkedin.com/in/alessioghiggeri</w:t>
        </w:r>
      </w:hyperlink>
      <w:r>
        <w:t xml:space="preserve"> · </w:t>
      </w:r>
      <w:hyperlink r:id="rId12" w:history="1">
        <w:r>
          <w:rPr>
            <w:rStyle w:val="Hyperlink"/>
          </w:rPr>
          <w:t xml:space="preserve">www.deepanalyze.it/alessio-ghiggeri</w:t>
        </w:r>
      </w:hyperlink>
    </w:p>
    <w:p>
      <w:pPr>
        <w:pStyle w:val="Heading1"/>
      </w:pPr>
      <w:r>
        <w:t xml:space="preserve">Profilo</w:t>
      </w:r>
    </w:p>
    <w:p>
      <w:r>
        <w:t xml:space="preserve">Ruoli HSE a tutti i livelli, in Italia e all'estero: dal servizio di prevenzione di stabilimento alla guida dei servizi HSE di due stabilimenti, al coordinamento dei due HSE Manager di VARD Romania e delle controllate estere del Gruppo Fincantieri. Cinque anni di base in Romania, missioni in Norvegia, Stati Uniti, Cina e Francia. Oggi gestisco i sistemi di gestione ISO 45001, ISO 14001 e ISO 50001 di tre unità produttive Fincantieri e la parte ambientale. Porto i dati HSE a chi decide con dashboard Power BI e strumenti AI progettati da me.</w:t>
      </w:r>
    </w:p>
    <w:p>
      <w:pPr>
        <w:pStyle w:val="Heading1"/>
      </w:pPr>
      <w:r>
        <w:t xml:space="preserve">Risultati chiave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−70%</w:t>
      </w:r>
      <w:r>
        <w:t xml:space="preserve"> indice di frequenza degli infortuni a VARD Tulcea (2017–2022); </w:t>
      </w:r>
      <w:r>
        <w:rPr>
          <w:b/>
          <w:bCs/>
        </w:rPr>
        <w:t xml:space="preserve">−70%</w:t>
      </w:r>
      <w:r>
        <w:t xml:space="preserve"> infortuni del Gruppo Fincantieri in Italia nei cinque anni dopo il progetto «Verso Infortuni Zero», a cui ho contribuito con la squadra HSE di Corporate (Bilancio di Sostenibilità 2017: −74% rispetto al 2010).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64 sedi</w:t>
      </w:r>
      <w:r>
        <w:t xml:space="preserve"> di 56 società in 21 Paesi coordinate; circa </w:t>
      </w:r>
      <w:r>
        <w:rPr>
          <w:b/>
          <w:bCs/>
        </w:rPr>
        <w:t xml:space="preserve">40 risorse HSE</w:t>
      </w:r>
      <w:r>
        <w:t xml:space="preserve"> coordinate in VARD Romania; </w:t>
      </w:r>
      <w:r>
        <w:rPr>
          <w:b/>
          <w:bCs/>
        </w:rPr>
        <w:t xml:space="preserve">17 persone</w:t>
      </w:r>
      <w:r>
        <w:t xml:space="preserve"> guidate a Marghera.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57 audit interni HSE</w:t>
      </w:r>
      <w:r>
        <w:t xml:space="preserve"> da team leader (2012–2013 e 2017–2019); sistemi ISO 14001 e BS OHSAS 18001 certificati da zero a Marghera (2015); prima certificazione ISO 14001 del Gruppo a Muggiano (2012).</w:t>
      </w:r>
    </w:p>
    <w:p>
      <w:pPr>
        <w:pStyle w:val="Heading1"/>
      </w:pPr>
      <w:r>
        <w:t xml:space="preserve">Competenze</w:t>
      </w:r>
    </w:p>
    <w:p>
      <w:pPr>
        <w:pStyle w:val="Competenza"/>
      </w:pPr>
      <w:r>
        <w:rPr>
          <w:b/>
          <w:bCs/>
        </w:rPr>
        <w:t xml:space="preserve">Salute e sicurezza: </w:t>
      </w:r>
      <w:r>
        <w:t xml:space="preserve">D.Lgs. 81/08 · valutazione dei rischi, DVR, DUVRI e POS · spazi confinati (D.P.R. 177/2011) · ATEX · rischio chimico · rumore e vibrazioni · lavori a caldo e permessi di lavoro · emergenze e antincendio · analisi di infortuni e near miss</w:t>
      </w:r>
    </w:p>
    <w:p>
      <w:pPr>
        <w:pStyle w:val="Competenza"/>
      </w:pPr>
      <w:r>
        <w:rPr>
          <w:b/>
          <w:bCs/>
        </w:rPr>
        <w:t xml:space="preserve">Sistemi e ambiente: </w:t>
      </w:r>
      <w:r>
        <w:t xml:space="preserve">ISO 45001 · ISO 14001 · ISO 50001 · audit interni da team leader · audit on-site ai fornitori · rifiuti e deposito temporaneo · emissioni in atmosfera · scarichi idrici · Autorizzazione Unica Ambientale</w:t>
      </w:r>
    </w:p>
    <w:p>
      <w:pPr>
        <w:pStyle w:val="Competenza"/>
      </w:pPr>
      <w:r>
        <w:rPr>
          <w:b/>
          <w:bCs/>
        </w:rPr>
        <w:t xml:space="preserve">Dati e AI: </w:t>
      </w:r>
      <w:r>
        <w:t xml:space="preserve">Power BI e DAX · KPI HSE · analisi dei trend · AI generativa (Claude, ChatGPT) · automazione con n8n · strumenti HSE progettati e realizzati con l'AI</w:t>
      </w:r>
    </w:p>
    <w:p>
      <w:pPr>
        <w:pStyle w:val="Competenza"/>
      </w:pPr>
      <w:r>
        <w:rPr>
          <w:b/>
          <w:bCs/>
        </w:rPr>
        <w:t xml:space="preserve">Persone: </w:t>
      </w:r>
      <w:r>
        <w:t xml:space="preserve">guida di team HSE in Italia e all'estero · progetto «Leadership in Safety» · coaching (Master, 400 h) · formazione dei lavoratori</w:t>
      </w:r>
    </w:p>
    <w:p>
      <w:pPr>
        <w:pStyle w:val="Heading1"/>
      </w:pPr>
      <w:r>
        <w:t xml:space="preserve">Brevetto e progetti</w:t>
      </w:r>
    </w:p>
    <w:p>
      <w:pPr>
        <w:pStyle w:val="ListParagraph"/>
        <w:numPr>
          <w:ilvl w:val="0"/>
          <w:numId w:val="1"/>
        </w:numPr>
      </w:pPr>
      <w:r>
        <w:t xml:space="preserve">Brevetto «Sistema e metodo di supporto ad attività in cantiere durante la costruzione di una nave»: Italia, n. 102022000023412 (concesso nel 2024); Stati Uniti, US 12,641,155 B2 (concesso nel 2026); in corso di concessione in Europa, Cina, Giappone, Corea del Sud e Australia. Titolare Fincantieri S.p.A., tra gli 11 inventori.</w:t>
      </w:r>
    </w:p>
    <w:p>
      <w:pPr>
        <w:pStyle w:val="ListParagraph"/>
        <w:numPr>
          <w:ilvl w:val="0"/>
          <w:numId w:val="1"/>
        </w:numPr>
      </w:pPr>
      <w:r>
        <w:t xml:space="preserve">Strumenti HSE progettati da me e realizzati con l'AI: CORTEX, controllo delle schede di dati di sicurezza secondo REACH e CLP (cortex.deepanalyze.it); RIFT, root cause analysis di infortuni e near miss (rift.deepanalyze.it); PULSE, analisi delle safety observation (in sviluppo).</w:t>
      </w:r>
    </w:p>
    <w:p>
      <w:pPr>
        <w:pStyle w:val="ListParagraph"/>
        <w:numPr>
          <w:ilvl w:val="0"/>
          <w:numId w:val="1"/>
        </w:numPr>
      </w:pPr>
      <w:r>
        <w:t xml:space="preserve">Modello per la valutazione del rischio rumore pubblicato su iclHUB: 1.984 download, voto medio 4,45 su 5.</w:t>
      </w:r>
    </w:p>
    <w:p>
      <w:pPr>
        <w:pStyle w:val="Heading1"/>
      </w:pPr>
      <w:r>
        <w:t xml:space="preserve">Esperienza</w:t>
      </w:r>
    </w:p>
    <w:p>
      <w:pPr>
        <w:pStyle w:val="Heading2"/>
      </w:pPr>
      <w:r>
        <w:t xml:space="preserve">Responsabile Gestione Sistemi Integrati e Ambiente</w:t>
      </w:r>
    </w:p>
    <w:p>
      <w:pPr>
        <w:pStyle w:val="Dove"/>
      </w:pPr>
      <w:r>
        <w:t xml:space="preserve">05/2023 – oggi · Fincantieri — Cantiere Integrato Navale Militare e Direzione Sistemi e Componenti Meccanici · Riva Trigoso · Muggiano</w:t>
      </w:r>
    </w:p>
    <w:p>
      <w:pPr>
        <w:pStyle w:val="ListParagraph"/>
        <w:numPr>
          <w:ilvl w:val="0"/>
          <w:numId w:val="1"/>
        </w:numPr>
      </w:pPr>
      <w:r>
        <w:t xml:space="preserve">Guida dei sistemi di gestione ISO 14001, ISO 45001 e ISO 50001 di tre unità produttive: ricertificazione triennale 2026 con RINA, nessuna non conformità maggiore negli audit di certificazione.</w:t>
      </w:r>
    </w:p>
    <w:p>
      <w:pPr>
        <w:pStyle w:val="ListParagraph"/>
        <w:numPr>
          <w:ilvl w:val="0"/>
          <w:numId w:val="1"/>
        </w:numPr>
      </w:pPr>
      <w:r>
        <w:t xml:space="preserve">Dirigente per la sicurezza del Cantiere Integrato (art. 2, c. 1, lett. d, e art. 18 D.Lgs. 81/08), con funzioni in materia di salute e sicurezza e di tutela dell'ambiente; referente dei sistemi di gestione salute e sicurezza (RSGS) ed energia (RSGE).</w:t>
      </w:r>
    </w:p>
    <w:p>
      <w:pPr>
        <w:pStyle w:val="ListParagraph"/>
        <w:numPr>
          <w:ilvl w:val="0"/>
          <w:numId w:val="1"/>
        </w:numPr>
      </w:pPr>
      <w:r>
        <w:t xml:space="preserve">Audit interni ed esterni e audit on-site ai fornitori; conformità normativa e autorizzativa; aggiornamento in corso delle Autorizzazioni Uniche Ambientali di Riva Trigoso e Muggiano. I due uffici riorganizzati in un unico ente integrato.</w:t>
      </w:r>
    </w:p>
    <w:p>
      <w:pPr>
        <w:pStyle w:val="ListParagraph"/>
        <w:numPr>
          <w:ilvl w:val="0"/>
          <w:numId w:val="1"/>
        </w:numPr>
      </w:pPr>
      <w:r>
        <w:t xml:space="preserve">PHOENIX, predictive safety: una delle 5 idee vincitrici di CALL4AIDEAS 2025 su circa 300 proposte, presentata all'AD; in sviluppo.</w:t>
      </w:r>
    </w:p>
    <w:p>
      <w:pPr>
        <w:pStyle w:val="Heading2"/>
      </w:pPr>
      <w:r>
        <w:t xml:space="preserve">Foreign Subsidiaries HSE Coordination</w:t>
      </w:r>
    </w:p>
    <w:p>
      <w:pPr>
        <w:pStyle w:val="Dove"/>
      </w:pPr>
      <w:r>
        <w:t xml:space="preserve">01/2022 – 04/2023 · Fincantieri — Group HSE Department · Tulcea · Riva Trigoso</w:t>
      </w:r>
    </w:p>
    <w:p>
      <w:pPr>
        <w:pStyle w:val="ListParagraph"/>
        <w:numPr>
          <w:ilvl w:val="0"/>
          <w:numId w:val="1"/>
        </w:numPr>
      </w:pPr>
      <w:r>
        <w:t xml:space="preserve">Coordinamento HSE delle controllate estere: 64 sedi di 56 società in 21 Paesi, con politiche armonizzate nel contesto normativo di ogni Paese, un contatto settimanale con i responsabili HSE e le best practice condivise fra i siti.</w:t>
      </w:r>
    </w:p>
    <w:p>
      <w:pPr>
        <w:pStyle w:val="ListParagraph"/>
        <w:numPr>
          <w:ilvl w:val="0"/>
          <w:numId w:val="1"/>
        </w:numPr>
      </w:pPr>
      <w:r>
        <w:t xml:space="preserve">Dati di infortuni, medicazioni, near miss e remark allineati fra le sedi, con il reporting in Power BI: dashboard e misure DAX progettate da zero.</w:t>
      </w:r>
    </w:p>
    <w:p>
      <w:pPr>
        <w:pStyle w:val="ListParagraph"/>
        <w:numPr>
          <w:ilvl w:val="0"/>
          <w:numId w:val="1"/>
        </w:numPr>
      </w:pPr>
      <w:r>
        <w:t xml:space="preserve">Gap analysis rispetto agli standard di Gruppo, con sopralluoghi a Marinette, Sturgeon Bay e Jacksonville (Stati Uniti).</w:t>
      </w:r>
    </w:p>
    <w:p>
      <w:pPr>
        <w:pStyle w:val="Heading2"/>
      </w:pPr>
      <w:r>
        <w:t xml:space="preserve">HSE Advisor</w:t>
      </w:r>
    </w:p>
    <w:p>
      <w:pPr>
        <w:pStyle w:val="Dove"/>
      </w:pPr>
      <w:r>
        <w:t xml:space="preserve">12/2017 – 04/2023 · VARD Romania — Cantieri di Tulcea &amp; Brăila · Tulcea · Riva Trigoso</w:t>
      </w:r>
    </w:p>
    <w:p>
      <w:pPr>
        <w:pStyle w:val="ListParagraph"/>
        <w:numPr>
          <w:ilvl w:val="0"/>
          <w:numId w:val="1"/>
        </w:numPr>
      </w:pPr>
      <w:r>
        <w:t xml:space="preserve">Indice di frequenza degli infortuni: circa −70% a Tulcea (2017–2022); −38% per i dipendenti in Romania (2019–2022, Bilanci di Sostenibilità 2020 e 2022).</w:t>
      </w:r>
    </w:p>
    <w:p>
      <w:pPr>
        <w:pStyle w:val="ListParagraph"/>
        <w:numPr>
          <w:ilvl w:val="0"/>
          <w:numId w:val="1"/>
        </w:numPr>
      </w:pPr>
      <w:r>
        <w:t xml:space="preserve">Coordinamento dei due HSE Manager dei cantieri e delle loro strutture, circa 40 risorse, su un perimetro di circa 6.000 persone fra dipendenti e ditte.</w:t>
      </w:r>
    </w:p>
    <w:p>
      <w:pPr>
        <w:pStyle w:val="ListParagraph"/>
        <w:numPr>
          <w:ilvl w:val="0"/>
          <w:numId w:val="1"/>
        </w:numPr>
      </w:pPr>
      <w:r>
        <w:t xml:space="preserve">Progetto «Leadership in Safety» (un anno): formazione, safety walk e coaching per tutta la linea gerarchica, con un forte focus sui preposti.</w:t>
      </w:r>
    </w:p>
    <w:p>
      <w:pPr>
        <w:pStyle w:val="ListParagraph"/>
        <w:numPr>
          <w:ilvl w:val="0"/>
          <w:numId w:val="1"/>
        </w:numPr>
      </w:pPr>
      <w:r>
        <w:t xml:space="preserve">COVID-19 (2020): presidio sul posto e messa in sicurezza dei due siti.</w:t>
      </w:r>
    </w:p>
    <w:p>
      <w:pPr>
        <w:pStyle w:val="Heading2"/>
      </w:pPr>
      <w:r>
        <w:t xml:space="preserve">HSE Corporate Coordination Specialist</w:t>
      </w:r>
    </w:p>
    <w:p>
      <w:pPr>
        <w:pStyle w:val="Dove"/>
      </w:pPr>
      <w:r>
        <w:t xml:space="preserve">11/2015 – 01/2022 · Fincantieri — Corporate HSE · Genova · Tulcea</w:t>
      </w:r>
    </w:p>
    <w:p>
      <w:pPr>
        <w:pStyle w:val="ListParagraph"/>
        <w:numPr>
          <w:ilvl w:val="0"/>
          <w:numId w:val="1"/>
        </w:numPr>
      </w:pPr>
      <w:r>
        <w:t xml:space="preserve">Process owner degli audit interni HSE del Gruppo (2017–2019), team leader di 33 audit in 11 siti: contributo all'obiettivo infortuni del Piano di Sostenibilità 2018–2022, raggiunto: indice di frequenza −22%, gravità −19% (Bilancio di Sostenibilità 2022).</w:t>
      </w:r>
    </w:p>
    <w:p>
      <w:pPr>
        <w:pStyle w:val="ListParagraph"/>
        <w:numPr>
          <w:ilvl w:val="0"/>
          <w:numId w:val="1"/>
        </w:numPr>
      </w:pPr>
      <w:r>
        <w:t xml:space="preserve">Permessi di lavoro con fonti termiche: requisiti della revisione completa del sistema e dell'algoritmo di rilascio, da process owner lato business; soddisfatte le richieste degli assicuratori, con risvolti economici significativi sulla copertura assicurativa.</w:t>
      </w:r>
    </w:p>
    <w:p>
      <w:pPr>
        <w:pStyle w:val="ListParagraph"/>
        <w:numPr>
          <w:ilvl w:val="0"/>
          <w:numId w:val="1"/>
        </w:numPr>
      </w:pPr>
      <w:r>
        <w:t xml:space="preserve">Process owner lato business del sistema di aggiornamento normativo LEX-EHS; rendicontazione del safety patrolling rivista per migliaia di remark.</w:t>
      </w:r>
    </w:p>
    <w:p>
      <w:pPr>
        <w:pStyle w:val="Heading2"/>
      </w:pPr>
      <w:r>
        <w:t xml:space="preserve">Responsabile Ufficio Salute e Sicurezza sul Lavoro, Antincendio e Ambiente · RSPP</w:t>
      </w:r>
    </w:p>
    <w:p>
      <w:pPr>
        <w:pStyle w:val="Dove"/>
      </w:pPr>
      <w:r>
        <w:t xml:space="preserve">01/2014 – 11/2015 · Fincantieri — Marghera</w:t>
      </w:r>
    </w:p>
    <w:p>
      <w:pPr>
        <w:pStyle w:val="ListParagraph"/>
        <w:numPr>
          <w:ilvl w:val="0"/>
          <w:numId w:val="1"/>
        </w:numPr>
      </w:pPr>
      <w:r>
        <w:t xml:space="preserve">Indice di frequenza degli infortuni −36% nell'anno pieno da responsabile rispetto al precedente, in un cantiere di navi da crociera.</w:t>
      </w:r>
    </w:p>
    <w:p>
      <w:pPr>
        <w:pStyle w:val="ListParagraph"/>
        <w:numPr>
          <w:ilvl w:val="0"/>
          <w:numId w:val="1"/>
        </w:numPr>
      </w:pPr>
      <w:r>
        <w:t xml:space="preserve">Sistemi ISO 14001 e BS OHSAS 18001 implementati da zero e certificati da RINA nel 2015, senza non conformità maggiori.</w:t>
      </w:r>
    </w:p>
    <w:p>
      <w:pPr>
        <w:pStyle w:val="ListParagraph"/>
        <w:numPr>
          <w:ilvl w:val="0"/>
          <w:numId w:val="1"/>
        </w:numPr>
      </w:pPr>
      <w:r>
        <w:t xml:space="preserve">Guida di 17 persone (prevenzione e protezione, antincendio, ambiente, infermeria) su un perimetro di circa 7.000 persone, ditte comprese; DUVRI e coordinamento delle ditte in area portuale industriale.</w:t>
      </w:r>
    </w:p>
    <w:p>
      <w:pPr>
        <w:pStyle w:val="Heading2"/>
      </w:pPr>
      <w:r>
        <w:t xml:space="preserve">HSE Corporate Coordination Specialist</w:t>
      </w:r>
    </w:p>
    <w:p>
      <w:pPr>
        <w:pStyle w:val="Dove"/>
      </w:pPr>
      <w:r>
        <w:t xml:space="preserve">12/2012 – 12/2013 · Fincantieri — Corporate HSE · Genova</w:t>
      </w:r>
    </w:p>
    <w:p>
      <w:pPr>
        <w:pStyle w:val="ListParagraph"/>
        <w:numPr>
          <w:ilvl w:val="0"/>
          <w:numId w:val="1"/>
        </w:numPr>
      </w:pPr>
      <w:r>
        <w:t xml:space="preserve">Gruppo in Italia nell'anno di incarico, con la squadra di Corporate: indice di frequenza −6%, di gravità −23%, infortuni −10%.</w:t>
      </w:r>
    </w:p>
    <w:p>
      <w:pPr>
        <w:pStyle w:val="ListParagraph"/>
        <w:numPr>
          <w:ilvl w:val="0"/>
          <w:numId w:val="1"/>
        </w:numPr>
      </w:pPr>
      <w:r>
        <w:t xml:space="preserve">Sistema di audit interni HSE riprogettato, con checklist a punteggio e rendicontazione verso il 100% di conformità: è ancora in uso, in versione digitale. Team leader di 24 audit in 12 siti.</w:t>
      </w:r>
    </w:p>
    <w:p>
      <w:pPr>
        <w:pStyle w:val="ListParagraph"/>
        <w:numPr>
          <w:ilvl w:val="0"/>
          <w:numId w:val="1"/>
        </w:numPr>
      </w:pPr>
      <w:r>
        <w:t xml:space="preserve">Contributo, con la squadra HSE di Corporate, al progetto «Verso Infortuni Zero»: −70% di infortuni del Gruppo in Italia nei cinque anni successivi.</w:t>
      </w:r>
    </w:p>
    <w:p>
      <w:pPr>
        <w:pStyle w:val="ListParagraph"/>
        <w:numPr>
          <w:ilvl w:val="0"/>
          <w:numId w:val="1"/>
        </w:numPr>
      </w:pPr>
      <w:r>
        <w:t xml:space="preserve">Linee guida di Gruppo per il DVR e, con la squadra di Corporate, per spazi confinati (D.P.R. 177/2011) e formazione dei lavoratori.</w:t>
      </w:r>
    </w:p>
    <w:p>
      <w:pPr>
        <w:pStyle w:val="Heading2"/>
      </w:pPr>
      <w:r>
        <w:t xml:space="preserve">Responsabile Ufficio Salute e Sicurezza sul Lavoro, Antincendio e Ambiente · RSPP</w:t>
      </w:r>
    </w:p>
    <w:p>
      <w:pPr>
        <w:pStyle w:val="Dove"/>
      </w:pPr>
      <w:r>
        <w:t xml:space="preserve">03/2009 – 12/2012 · Fincantieri — Muggiano (La Spezia)</w:t>
      </w:r>
    </w:p>
    <w:p>
      <w:pPr>
        <w:pStyle w:val="ListParagraph"/>
        <w:numPr>
          <w:ilvl w:val="0"/>
          <w:numId w:val="1"/>
        </w:numPr>
      </w:pPr>
      <w:r>
        <w:t xml:space="preserve">Prima certificazione ISO 14001 del Gruppo Fincantieri (2012), ottenuta con una risorsa dedicata.</w:t>
      </w:r>
    </w:p>
    <w:p>
      <w:pPr>
        <w:pStyle w:val="ListParagraph"/>
        <w:numPr>
          <w:ilvl w:val="0"/>
          <w:numId w:val="1"/>
        </w:numPr>
      </w:pPr>
      <w:r>
        <w:t xml:space="preserve">Indice di frequenza degli infortuni −65% rispetto al predecessore; rating antincendio degli assicuratori da C-- a B; ufficio HSE ristrutturato in un cantiere di navi militari, sommergibili e mega yacht: circa 1.700 presenze al giorno, 250 ditte, 8 persone dirette.</w:t>
      </w:r>
    </w:p>
    <w:p>
      <w:pPr>
        <w:pStyle w:val="ListParagraph"/>
        <w:numPr>
          <w:ilvl w:val="0"/>
          <w:numId w:val="1"/>
        </w:numPr>
      </w:pPr>
      <w:r>
        <w:t xml:space="preserve">Rifiuti, emissioni e scarichi riorganizzati, con il rendering del nuovo deposito dei rifiuti pericolosi; primo impianto di segnalazione delle emergenze di bordo, base del sistema poi brevettato.</w:t>
      </w:r>
    </w:p>
    <w:p>
      <w:pPr>
        <w:pStyle w:val="Heading2"/>
      </w:pPr>
      <w:r>
        <w:t xml:space="preserve">Addetto al Servizio di Prevenzione e Protezione (ASPP)</w:t>
      </w:r>
    </w:p>
    <w:p>
      <w:pPr>
        <w:pStyle w:val="Dove"/>
      </w:pPr>
      <w:r>
        <w:t xml:space="preserve">03/2008 – 03/2009 · Fincantieri — Palermo</w:t>
      </w:r>
    </w:p>
    <w:p>
      <w:pPr>
        <w:pStyle w:val="ListParagraph"/>
        <w:numPr>
          <w:ilvl w:val="0"/>
          <w:numId w:val="1"/>
        </w:numPr>
      </w:pPr>
      <w:r>
        <w:t xml:space="preserve">Zero infortuni nella costruzione della piattaforma semisommergibile Scarabeo 8 (ENI Norge / Saipem Norway), come referente HSE del cantiere per il cliente.</w:t>
      </w:r>
    </w:p>
    <w:p>
      <w:pPr>
        <w:pStyle w:val="ListParagraph"/>
        <w:numPr>
          <w:ilvl w:val="0"/>
          <w:numId w:val="1"/>
        </w:numPr>
      </w:pPr>
      <w:r>
        <w:t xml:space="preserve">Sistema di sopralluoghi per sicurezza e ambiente ideato da me, ancora in uso in molti stabilimenti; Job Safety Analysis per il commissioning; valutazione del rischio rumore rifatta da capo.</w:t>
      </w:r>
    </w:p>
    <w:p>
      <w:pPr>
        <w:pStyle w:val="Heading2"/>
      </w:pPr>
      <w:r>
        <w:t xml:space="preserve">Addetto al Servizio di Prevenzione e Protezione (ASPP)</w:t>
      </w:r>
    </w:p>
    <w:p>
      <w:pPr>
        <w:pStyle w:val="Dove"/>
      </w:pPr>
      <w:r>
        <w:t xml:space="preserve">12/2001 – 03/2008 · Fincantieri — Riva Trigoso</w:t>
      </w:r>
    </w:p>
    <w:p>
      <w:pPr>
        <w:pStyle w:val="ListParagraph"/>
        <w:numPr>
          <w:ilvl w:val="0"/>
          <w:numId w:val="1"/>
        </w:numPr>
      </w:pPr>
      <w:r>
        <w:t xml:space="preserve">Indice di frequenza degli infortuni dimezzato (−50%) fra il primo e l'ultimo anno pieno, a supporto dell'RSPP su sicurezza, ambiente e prevenzione incendi; misure del rumore; docente nei corsi di base.</w:t>
      </w:r>
    </w:p>
    <w:p>
      <w:pPr>
        <w:pStyle w:val="Heading2"/>
      </w:pPr>
      <w:r>
        <w:t xml:space="preserve">Allievo Ufficiale di Macchina</w:t>
      </w:r>
    </w:p>
    <w:p>
      <w:pPr>
        <w:pStyle w:val="Dove"/>
      </w:pPr>
      <w:r>
        <w:t xml:space="preserve">10/1999 – 12/2000 · Augusta OffShore — AHTS Supply Vessels · A bordo di navi AHTS — base nei porti di Ravenna, Ortona, Brindisi e Crotone (Italia)</w:t>
      </w:r>
    </w:p>
    <w:p>
      <w:pPr>
        <w:pStyle w:val="ListParagraph"/>
        <w:numPr>
          <w:ilvl w:val="0"/>
          <w:numId w:val="1"/>
        </w:numPr>
      </w:pPr>
      <w:r>
        <w:t xml:space="preserve">Guardie in sala macchine su navi AHTS per le operazioni offshore di ENI e SAIPEM: impianti di propulsione, impianti di vita e servizi alle piattaforme di perforazione.</w:t>
      </w:r>
    </w:p>
    <w:p>
      <w:pPr>
        <w:pStyle w:val="Heading1"/>
      </w:pPr>
      <w:r>
        <w:t xml:space="preserve">Incarichi in parallelo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Responsabile del Servizio di Prevenzione e Protezione dai Rischi (RSPP)</w:t>
      </w:r>
      <w:r>
        <w:t xml:space="preserve"> · 01/2014 – 03/2025 · Consorzio F.S.B. — Marghera. </w:t>
      </w:r>
      <w:r>
        <w:t xml:space="preserve">Aree comuni del Consorzio e coordinamento dei consorziati Fincantieri, Saipem e Berengo; incarico continuativo di 11 anni.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Responsabile del Servizio di Prevenzione e Protezione dai Rischi (RSPP)</w:t>
      </w:r>
      <w:r>
        <w:t xml:space="preserve"> · 12/2012 – 12/2021 · SEASTEMA S.p.A. — Controllata Fincantieri (sistemi di combattimento navale). </w:t>
      </w:r>
      <w:r>
        <w:t xml:space="preserve">Sei sedi in Italia, con riporto diretto all'Amministratore Delegato; collaborazione all'incorporazione della società in Fincantieri NexTech.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Responsabile del Servizio di Prevenzione e Protezione dai Rischi (RSPP)</w:t>
      </w:r>
      <w:r>
        <w:t xml:space="preserve"> · 12/2012 – 03/2014 · Orizzonte Sistemi Navali — JV navale militare. </w:t>
      </w:r>
      <w:r>
        <w:t xml:space="preserve">Sedi di Genova, Roma e Taranto: DVR e procedure HSE allineati fra le sedi e con gli standard di Gruppo.</w:t>
      </w:r>
    </w:p>
    <w:p>
      <w:pPr>
        <w:pStyle w:val="Heading1"/>
      </w:pPr>
      <w:r>
        <w:t xml:space="preserve">Qualifiche, istruzione e lingue</w:t>
      </w:r>
    </w:p>
    <w:p>
      <w:pPr>
        <w:pStyle w:val="ListParagraph"/>
        <w:numPr>
          <w:ilvl w:val="0"/>
          <w:numId w:val="1"/>
        </w:numPr>
      </w:pPr>
      <w:r>
        <w:t xml:space="preserve">RSPP — Moduli A, B (macrosettore 4) e C, 2008–2009, 100 h · aggiornamento in corso di validità, con la formazione continua in salute e sicurezza</w:t>
      </w:r>
    </w:p>
    <w:p>
      <w:pPr>
        <w:pStyle w:val="ListParagraph"/>
        <w:numPr>
          <w:ilvl w:val="0"/>
          <w:numId w:val="1"/>
        </w:numPr>
      </w:pPr>
      <w:r>
        <w:t xml:space="preserve">Lead Auditor ISO 14001 e Lead Auditor BS OHSAS 18001, 2016, 24 h ciascuno</w:t>
      </w:r>
    </w:p>
    <w:p>
      <w:pPr>
        <w:pStyle w:val="ListParagraph"/>
        <w:numPr>
          <w:ilvl w:val="0"/>
          <w:numId w:val="1"/>
        </w:numPr>
      </w:pPr>
      <w:r>
        <w:t xml:space="preserve">Master in Coaching, 2016, 400 h, dopo il Diploma di Coach (2015, 100 h)</w:t>
      </w:r>
    </w:p>
    <w:p>
      <w:pPr>
        <w:pStyle w:val="ListParagraph"/>
        <w:numPr>
          <w:ilvl w:val="0"/>
          <w:numId w:val="1"/>
        </w:numPr>
      </w:pPr>
      <w:r>
        <w:t xml:space="preserve">1.589 h di formazione in 141 attestati + 1.450 h in corso: AI Engineer, master in Data Analytics, Data Science e AI Prompt Engineering</w:t>
      </w:r>
    </w:p>
    <w:p>
      <w:pPr>
        <w:pStyle w:val="ListParagraph"/>
        <w:numPr>
          <w:ilvl w:val="0"/>
          <w:numId w:val="1"/>
        </w:numPr>
      </w:pPr>
      <w:r>
        <w:t xml:space="preserve">Diploma di Perito per Apparati ed Impianti Marittimi — Istituto Tecnico Nautico di Camogli, 1996</w:t>
      </w:r>
    </w:p>
    <w:p>
      <w:pPr>
        <w:pStyle w:val="ListParagraph"/>
        <w:numPr>
          <w:ilvl w:val="0"/>
          <w:numId w:val="1"/>
        </w:numPr>
      </w:pPr>
      <w:r>
        <w:t xml:space="preserve">Lingue: italiano madrelingua · inglese B1</w:t>
      </w:r>
    </w:p>
    <w:p>
      <w:pPr>
        <w:pStyle w:val="Privacy"/>
      </w:pPr>
      <w:r>
        <w:t xml:space="preserve">Autorizzo il trattamento dei miei dati personali ai sensi del Regolamento (UE) 2016/679 (GDPR) e del D.Lgs. 196/2003.</w:t>
      </w:r>
    </w:p>
    <w:sectPr>
      <w:pgSz w:w="11906" w:h="16838"/>
      <w:pgMar w:top="567" w:right="794" w:bottom="567" w:left="79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284" w:hanging="227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19"/>
        <w:szCs w:val="19"/>
        <w:lang w:val="it-IT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11111"/>
    </w:rPr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b/>
      <w:bCs/>
      <w:sz w:val="40"/>
      <w:szCs w:val="40"/>
    </w:rPr>
  </w:style>
  <w:style w:type="paragraph" w:styleId="Subtitle">
    <w:name w:val="Subtitle"/>
    <w:basedOn w:val="Normal"/>
    <w:next w:val="Normal"/>
    <w:qFormat/>
    <w:pPr>
      <w:spacing w:before="40"/>
    </w:pPr>
    <w:rPr>
      <w:b/>
      <w:bCs/>
      <w:sz w:val="21"/>
      <w:szCs w:val="21"/>
    </w:rPr>
  </w:style>
  <w:style w:type="paragraph" w:customStyle="1" w:styleId="Contatti">
    <w:name w:val="Contatti"/>
    <w:basedOn w:val="Normal"/>
    <w:pPr>
      <w:spacing w:before="40"/>
    </w:pPr>
    <w:rPr>
      <w:color w:val="333333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pBdr>
        <w:bottom w:val="single" w:sz="4" w:space="1" w:color="0B4F6C"/>
      </w:pBdr>
      <w:spacing w:before="130" w:after="50"/>
      <w:outlineLvl w:val="0"/>
    </w:pPr>
    <w:rPr>
      <w:b/>
      <w:bCs/>
      <w:caps/>
      <w:color w:val="0B4F6C"/>
      <w:spacing w:val="12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spacing w:before="90"/>
      <w:outlineLvl w:val="1"/>
    </w:pPr>
    <w:rPr>
      <w:b/>
      <w:bCs/>
      <w:sz w:val="20"/>
      <w:szCs w:val="20"/>
    </w:rPr>
  </w:style>
  <w:style w:type="paragraph" w:customStyle="1" w:styleId="Dove">
    <w:name w:val="Dove"/>
    <w:basedOn w:val="Normal"/>
    <w:pPr>
      <w:keepNext/>
    </w:pPr>
    <w:rPr>
      <w:color w:val="333333"/>
      <w:sz w:val="18"/>
      <w:szCs w:val="18"/>
    </w:rPr>
  </w:style>
  <w:style w:type="paragraph" w:styleId="ListParagraph">
    <w:name w:val="List Paragraph"/>
    <w:basedOn w:val="Normal"/>
    <w:qFormat/>
    <w:pPr>
      <w:spacing w:before="12" w:after="12"/>
      <w:ind w:left="284" w:hanging="227"/>
    </w:pPr>
  </w:style>
  <w:style w:type="paragraph" w:customStyle="1" w:styleId="Competenza">
    <w:name w:val="Competenza"/>
    <w:basedOn w:val="Normal"/>
    <w:pPr>
      <w:spacing w:before="12" w:after="12"/>
    </w:pPr>
  </w:style>
  <w:style w:type="paragraph" w:customStyle="1" w:styleId="Privacy">
    <w:name w:val="Privacy"/>
    <w:basedOn w:val="Normal"/>
    <w:pPr>
      <w:spacing w:before="100"/>
    </w:pPr>
    <w:rPr>
      <w:color w:val="444444"/>
      <w:sz w:val="16"/>
      <w:szCs w:val="16"/>
    </w:rPr>
  </w:style>
  <w:style w:type="character" w:styleId="Hyperlink">
    <w:name w:val="Hyperlink"/>
    <w:basedOn w:val="DefaultParagraphFont"/>
    <w:rPr>
      <w:color w:val="0B4F6C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mailto:alessio@deepanalyze.it" TargetMode="External"/><Relationship Id="rId11" Type="http://schemas.openxmlformats.org/officeDocument/2006/relationships/hyperlink" Target="https://www.linkedin.com/in/alessioghiggeri" TargetMode="External"/><Relationship Id="rId12" Type="http://schemas.openxmlformats.org/officeDocument/2006/relationships/hyperlink" Target="https://www.deepanalyze.it/alessio-ghiggeri" TargetMode="External"/></Relationships>
</file>

<file path=docProps/app.xml><?xml version="1.0" encoding="utf-8"?>
<Properties xmlns="http://schemas.openxmlformats.org/officeDocument/2006/extended-properties">
  <Application>cv_word.js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Alessio Ghiggeri — CV</dc:title>
  <dc:creator>Alessio Ghiggeri</dc:creator>
  <dc:language>it-IT</dc:language>
  <dcterms:created xsi:type="dcterms:W3CDTF">2026-11-04T00:00:00Z</dcterms:created>
  <dcterms:modified xsi:type="dcterms:W3CDTF">2026-11-04T00:00:00Z</dcterms:modified>
</cp:coreProperties>
</file>